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4801" w14:textId="7C0EF949" w:rsidR="009A2720" w:rsidRDefault="001505AD" w:rsidP="009A2720">
      <w:pPr>
        <w:pStyle w:val="NoSpacing"/>
        <w:rPr>
          <w:b/>
          <w:bCs/>
          <w:sz w:val="24"/>
          <w:szCs w:val="24"/>
        </w:rPr>
      </w:pPr>
      <w:r w:rsidRPr="009A2720">
        <w:rPr>
          <w:b/>
          <w:bCs/>
          <w:sz w:val="24"/>
          <w:szCs w:val="24"/>
        </w:rPr>
        <w:t>An Open Letter to the Press, Members of Parliament, Members of the Scottish Parliament, and Elected Members of The Highland Council</w:t>
      </w:r>
      <w:r w:rsidR="00BE575B" w:rsidRPr="009A2720">
        <w:rPr>
          <w:b/>
          <w:bCs/>
          <w:sz w:val="24"/>
          <w:szCs w:val="24"/>
        </w:rPr>
        <w:t xml:space="preserve"> </w:t>
      </w:r>
    </w:p>
    <w:p w14:paraId="50A0A746" w14:textId="5209AF6F" w:rsidR="001505AD" w:rsidRDefault="00BE575B" w:rsidP="009A2720">
      <w:pPr>
        <w:pStyle w:val="NoSpacing"/>
        <w:rPr>
          <w:b/>
          <w:bCs/>
          <w:sz w:val="24"/>
          <w:szCs w:val="24"/>
        </w:rPr>
      </w:pPr>
      <w:r w:rsidRPr="009A2720">
        <w:rPr>
          <w:b/>
          <w:bCs/>
          <w:sz w:val="24"/>
          <w:szCs w:val="24"/>
        </w:rPr>
        <w:t>9 March 2026</w:t>
      </w:r>
    </w:p>
    <w:p w14:paraId="018DD360" w14:textId="77777777" w:rsidR="002A25DD" w:rsidRDefault="002A25DD" w:rsidP="009A2720">
      <w:pPr>
        <w:pStyle w:val="NoSpacing"/>
        <w:rPr>
          <w:b/>
          <w:bCs/>
          <w:sz w:val="24"/>
          <w:szCs w:val="24"/>
        </w:rPr>
      </w:pPr>
    </w:p>
    <w:p w14:paraId="1A1C9005" w14:textId="77777777" w:rsidR="005E19F9" w:rsidRDefault="005E19F9" w:rsidP="009A2720">
      <w:pPr>
        <w:pStyle w:val="NoSpacing"/>
        <w:rPr>
          <w:b/>
          <w:bCs/>
          <w:sz w:val="24"/>
          <w:szCs w:val="24"/>
        </w:rPr>
      </w:pPr>
    </w:p>
    <w:p w14:paraId="749E90D1" w14:textId="5BA30220" w:rsidR="002A25DD" w:rsidRDefault="002A25DD" w:rsidP="001505AD">
      <w:r>
        <w:t>To whom it may concern,</w:t>
      </w:r>
    </w:p>
    <w:p w14:paraId="3E3DFB87" w14:textId="3C5CEF13" w:rsidR="001505AD" w:rsidRPr="001505AD" w:rsidRDefault="001505AD" w:rsidP="001505AD">
      <w:r w:rsidRPr="001505AD">
        <w:t>We write with grave concern regarding the proposed sale of the marble bust of Sir John Gordon of Invergordon, sculpted in 1728 by the distinguished French artist Edmé Bouchardon.</w:t>
      </w:r>
    </w:p>
    <w:p w14:paraId="6AE72E60" w14:textId="77777777" w:rsidR="001505AD" w:rsidRPr="001505AD" w:rsidRDefault="001505AD" w:rsidP="001505AD">
      <w:r w:rsidRPr="001505AD">
        <w:t>This is not a routine asset disposal. It is the proposed irreversible alienation of a nationally significant Common Good asset held in trust for the people of Invergordon.</w:t>
      </w:r>
    </w:p>
    <w:p w14:paraId="41EB0BE4" w14:textId="65BA0EC6" w:rsidR="001505AD" w:rsidRPr="001505AD" w:rsidRDefault="001505AD" w:rsidP="001505AD">
      <w:r w:rsidRPr="001505AD">
        <w:t xml:space="preserve">The decision now before </w:t>
      </w:r>
      <w:r w:rsidR="00BE575B">
        <w:t xml:space="preserve">the </w:t>
      </w:r>
      <w:r w:rsidRPr="001505AD">
        <w:t>Highland Council is not simply financial. It is fiduciary, legal, cultural and generational.</w:t>
      </w:r>
    </w:p>
    <w:p w14:paraId="7133FCC5" w14:textId="77777777" w:rsidR="001505AD" w:rsidRPr="001505AD" w:rsidRDefault="00000000" w:rsidP="001505AD">
      <w:r>
        <w:pict w14:anchorId="057558BE">
          <v:rect id="_x0000_i1025" style="width:0;height:1.5pt" o:hralign="center" o:hrstd="t" o:hr="t" fillcolor="#a0a0a0" stroked="f"/>
        </w:pict>
      </w:r>
    </w:p>
    <w:p w14:paraId="727514B0" w14:textId="77777777" w:rsidR="001505AD" w:rsidRPr="001505AD" w:rsidRDefault="001505AD" w:rsidP="001505AD">
      <w:pPr>
        <w:rPr>
          <w:b/>
          <w:bCs/>
        </w:rPr>
      </w:pPr>
      <w:r w:rsidRPr="001505AD">
        <w:rPr>
          <w:b/>
          <w:bCs/>
        </w:rPr>
        <w:t>National Significance Confirmed by Unanimous Expert Determination</w:t>
      </w:r>
    </w:p>
    <w:p w14:paraId="10A79F59" w14:textId="77777777" w:rsidR="001505AD" w:rsidRPr="001505AD" w:rsidRDefault="001505AD" w:rsidP="001505AD">
      <w:r w:rsidRPr="001505AD">
        <w:t>The bust is currently subject to an export licence process under the Export of Objects of Cultural Interest (Control) Order 2003. Following detailed consideration, the Reviewing Committee on the Export of Works of Art and Objects of Cultural Interest determined that the bust meets all three Waverley Criteria.</w:t>
      </w:r>
    </w:p>
    <w:p w14:paraId="0998D31B" w14:textId="77777777" w:rsidR="001505AD" w:rsidRPr="001505AD" w:rsidRDefault="001505AD" w:rsidP="001505AD">
      <w:r w:rsidRPr="001505AD">
        <w:t>The Committee’s conclusion was unanimous across all counts.</w:t>
      </w:r>
    </w:p>
    <w:p w14:paraId="46E76802" w14:textId="77777777" w:rsidR="001505AD" w:rsidRPr="001505AD" w:rsidRDefault="001505AD" w:rsidP="001505AD">
      <w:r w:rsidRPr="001505AD">
        <w:t>It found the bust to be:</w:t>
      </w:r>
    </w:p>
    <w:p w14:paraId="368DED38" w14:textId="77777777" w:rsidR="001505AD" w:rsidRPr="001505AD" w:rsidRDefault="001505AD" w:rsidP="009A2720">
      <w:pPr>
        <w:pStyle w:val="NoSpacing"/>
        <w:numPr>
          <w:ilvl w:val="0"/>
          <w:numId w:val="8"/>
        </w:numPr>
      </w:pPr>
      <w:r w:rsidRPr="001505AD">
        <w:t>Of outstanding historical importance to Scotland;</w:t>
      </w:r>
    </w:p>
    <w:p w14:paraId="7DD244AC" w14:textId="77777777" w:rsidR="001505AD" w:rsidRPr="001505AD" w:rsidRDefault="001505AD" w:rsidP="009A2720">
      <w:pPr>
        <w:pStyle w:val="NoSpacing"/>
        <w:numPr>
          <w:ilvl w:val="0"/>
          <w:numId w:val="8"/>
        </w:numPr>
      </w:pPr>
      <w:r w:rsidRPr="001505AD">
        <w:t>Of exceptional aesthetic significance within the development of early eighteenth-century portrait sculpture;</w:t>
      </w:r>
    </w:p>
    <w:p w14:paraId="06A177B2" w14:textId="77777777" w:rsidR="001505AD" w:rsidRPr="001505AD" w:rsidRDefault="001505AD" w:rsidP="009A2720">
      <w:pPr>
        <w:pStyle w:val="NoSpacing"/>
        <w:numPr>
          <w:ilvl w:val="0"/>
          <w:numId w:val="8"/>
        </w:numPr>
      </w:pPr>
      <w:r w:rsidRPr="001505AD">
        <w:t>Of outstanding scholarly importance; and</w:t>
      </w:r>
    </w:p>
    <w:p w14:paraId="7B7988DB" w14:textId="77777777" w:rsidR="001505AD" w:rsidRDefault="001505AD" w:rsidP="009A2720">
      <w:pPr>
        <w:pStyle w:val="NoSpacing"/>
        <w:numPr>
          <w:ilvl w:val="0"/>
          <w:numId w:val="8"/>
        </w:numPr>
      </w:pPr>
      <w:r w:rsidRPr="001505AD">
        <w:t>An object whose loss would constitute a misfortune to the United Kingdom.</w:t>
      </w:r>
    </w:p>
    <w:p w14:paraId="1F0A8FF2" w14:textId="77777777" w:rsidR="009A2720" w:rsidRPr="001505AD" w:rsidRDefault="009A2720" w:rsidP="009A2720">
      <w:pPr>
        <w:pStyle w:val="NoSpacing"/>
        <w:ind w:left="720"/>
      </w:pPr>
    </w:p>
    <w:p w14:paraId="0084254F" w14:textId="77777777" w:rsidR="001505AD" w:rsidRPr="001505AD" w:rsidRDefault="001505AD" w:rsidP="001505AD">
      <w:r w:rsidRPr="001505AD">
        <w:t>Such unanimous determinations are rare. They place this object within the highest category of national cultural significance.</w:t>
      </w:r>
    </w:p>
    <w:p w14:paraId="689802F7" w14:textId="6178DCBA" w:rsidR="001505AD" w:rsidRPr="001505AD" w:rsidRDefault="001505AD" w:rsidP="001505AD">
      <w:r w:rsidRPr="001505AD">
        <w:t xml:space="preserve">It is therefore no exaggeration to state that </w:t>
      </w:r>
      <w:r w:rsidR="00B75702">
        <w:t xml:space="preserve">the </w:t>
      </w:r>
      <w:r w:rsidRPr="001505AD">
        <w:t>Highland Council is currently considering the disposal of an object formally recognised as being of outstanding importance to the nation.</w:t>
      </w:r>
    </w:p>
    <w:p w14:paraId="2AB6B193" w14:textId="77777777" w:rsidR="001505AD" w:rsidRPr="001505AD" w:rsidRDefault="00000000" w:rsidP="001505AD">
      <w:r>
        <w:pict w14:anchorId="01DA1345">
          <v:rect id="_x0000_i1026" style="width:0;height:1.5pt" o:hralign="center" o:hrstd="t" o:hr="t" fillcolor="#a0a0a0" stroked="f"/>
        </w:pict>
      </w:r>
    </w:p>
    <w:p w14:paraId="3DC70C4D" w14:textId="77777777" w:rsidR="001505AD" w:rsidRPr="001505AD" w:rsidRDefault="001505AD" w:rsidP="001505AD">
      <w:pPr>
        <w:rPr>
          <w:b/>
          <w:bCs/>
        </w:rPr>
      </w:pPr>
      <w:r w:rsidRPr="001505AD">
        <w:rPr>
          <w:b/>
          <w:bCs/>
        </w:rPr>
        <w:t>Trusteeship and Legal Responsibility</w:t>
      </w:r>
    </w:p>
    <w:p w14:paraId="182FACC8" w14:textId="74B8BD4F" w:rsidR="001505AD" w:rsidRPr="001505AD" w:rsidRDefault="001505AD" w:rsidP="001505AD">
      <w:r w:rsidRPr="001505AD">
        <w:t>The bust was brought back from Rome in 1728. In 1930</w:t>
      </w:r>
      <w:r w:rsidR="00B75702">
        <w:t>,</w:t>
      </w:r>
      <w:r w:rsidRPr="001505AD">
        <w:t xml:space="preserve"> it was purchased for £5 by the former Invergordon Town Council for the benefit of the town’s residents. It is now part of the Invergordon Common Good Fund.</w:t>
      </w:r>
    </w:p>
    <w:p w14:paraId="78044114" w14:textId="77777777" w:rsidR="001505AD" w:rsidRPr="001505AD" w:rsidRDefault="001505AD" w:rsidP="001505AD">
      <w:r w:rsidRPr="001505AD">
        <w:t>Councillors act not as owners, but as trustees.</w:t>
      </w:r>
    </w:p>
    <w:p w14:paraId="5641A6F5" w14:textId="77777777" w:rsidR="001505AD" w:rsidRPr="001505AD" w:rsidRDefault="001505AD" w:rsidP="001505AD">
      <w:r w:rsidRPr="001505AD">
        <w:t>Under established Common Good principles and the Local Government (Scotland) Act 1973, trustees must act prudently, impartially, and in the best long-term interests of the beneficiaries — namely, the people of Invergordon, present and future.</w:t>
      </w:r>
    </w:p>
    <w:p w14:paraId="2FAEE73C" w14:textId="77777777" w:rsidR="001505AD" w:rsidRPr="001505AD" w:rsidRDefault="001505AD" w:rsidP="001505AD">
      <w:r w:rsidRPr="001505AD">
        <w:lastRenderedPageBreak/>
        <w:t>A recent court ruling confirmed only that the Council has the legal power to sell. It did not oblige the Council to do so. Nor did it restrict councillors from revisiting the decision where new and material information has emerged.</w:t>
      </w:r>
    </w:p>
    <w:p w14:paraId="63E9C7A7" w14:textId="77777777" w:rsidR="001505AD" w:rsidRPr="001505AD" w:rsidRDefault="001505AD" w:rsidP="001505AD">
      <w:r w:rsidRPr="001505AD">
        <w:t>A power to sell is not a duty to sell.</w:t>
      </w:r>
    </w:p>
    <w:p w14:paraId="1A9D5039" w14:textId="77777777" w:rsidR="001505AD" w:rsidRPr="001505AD" w:rsidRDefault="001505AD" w:rsidP="001505AD">
      <w:r w:rsidRPr="001505AD">
        <w:t>Where nationally significant heritage and intergenerational trust obligations are concerned, the exercise of discretion must be demonstrably careful, fully informed and proportionate.</w:t>
      </w:r>
    </w:p>
    <w:p w14:paraId="201B6C88" w14:textId="77777777" w:rsidR="001505AD" w:rsidRPr="001505AD" w:rsidRDefault="00000000" w:rsidP="001505AD">
      <w:r>
        <w:pict w14:anchorId="2621F1EB">
          <v:rect id="_x0000_i1027" style="width:0;height:1.5pt" o:hralign="center" o:hrstd="t" o:hr="t" fillcolor="#a0a0a0" stroked="f"/>
        </w:pict>
      </w:r>
    </w:p>
    <w:p w14:paraId="571F5E5E" w14:textId="77777777" w:rsidR="001505AD" w:rsidRPr="001505AD" w:rsidRDefault="001505AD" w:rsidP="001505AD">
      <w:pPr>
        <w:rPr>
          <w:b/>
          <w:bCs/>
        </w:rPr>
      </w:pPr>
      <w:r w:rsidRPr="001505AD">
        <w:rPr>
          <w:b/>
          <w:bCs/>
        </w:rPr>
        <w:t>Financial Prudence and Market Uncertainty</w:t>
      </w:r>
    </w:p>
    <w:p w14:paraId="6974287E" w14:textId="77777777" w:rsidR="001505AD" w:rsidRPr="001505AD" w:rsidRDefault="001505AD" w:rsidP="001505AD">
      <w:r w:rsidRPr="001505AD">
        <w:t>While a figure in the region of £2.5 million has been cited as a professional estimate, such valuations are not fixed ceilings. The international art market, particularly for rare works with exceptional provenance and compelling narrative, is inherently volatile.</w:t>
      </w:r>
    </w:p>
    <w:p w14:paraId="28425CA4" w14:textId="77777777" w:rsidR="001505AD" w:rsidRPr="001505AD" w:rsidRDefault="001505AD" w:rsidP="001505AD">
      <w:r w:rsidRPr="001505AD">
        <w:t>Given the bust’s rarity, its rediscovery story, and its confirmed national importance, it is entirely plausible that competitive bidding in the right circumstances could exceed £3 million and potentially approach or surpass £5 million if the work were deemed a “must-have” by a determined collector or institution.</w:t>
      </w:r>
    </w:p>
    <w:p w14:paraId="14E8C484" w14:textId="77777777" w:rsidR="001505AD" w:rsidRPr="001505AD" w:rsidRDefault="001505AD" w:rsidP="001505AD">
      <w:r w:rsidRPr="001505AD">
        <w:t>Equally, markets fluctuate. Auction outcomes are unpredictable.</w:t>
      </w:r>
    </w:p>
    <w:p w14:paraId="40C7B3A0" w14:textId="77777777" w:rsidR="001505AD" w:rsidRPr="001505AD" w:rsidRDefault="001505AD" w:rsidP="001505AD">
      <w:r w:rsidRPr="001505AD">
        <w:t>For trustees, this volatility underscores a central issue: a one-off capital receipt is permanent and irreversible, whereas retention with structured revenue generation preserves both capital value and cultural ownership.</w:t>
      </w:r>
    </w:p>
    <w:p w14:paraId="4842D964" w14:textId="77777777" w:rsidR="001505AD" w:rsidRPr="001505AD" w:rsidRDefault="001505AD" w:rsidP="001505AD">
      <w:r w:rsidRPr="001505AD">
        <w:t>Prudence requires weighing not only headline figures but long-term income modelling, reputational risk, heritage loss, and the opportunity cost of permanent disposal.</w:t>
      </w:r>
    </w:p>
    <w:p w14:paraId="479AAA1E" w14:textId="77777777" w:rsidR="001505AD" w:rsidRPr="001505AD" w:rsidRDefault="00000000" w:rsidP="001505AD">
      <w:r>
        <w:pict w14:anchorId="7F4A9285">
          <v:rect id="_x0000_i1028" style="width:0;height:1.5pt" o:hralign="center" o:hrstd="t" o:hr="t" fillcolor="#a0a0a0" stroked="f"/>
        </w:pict>
      </w:r>
    </w:p>
    <w:p w14:paraId="137D241B" w14:textId="77777777" w:rsidR="001505AD" w:rsidRPr="001505AD" w:rsidRDefault="001505AD" w:rsidP="001505AD">
      <w:pPr>
        <w:rPr>
          <w:b/>
          <w:bCs/>
        </w:rPr>
      </w:pPr>
      <w:r w:rsidRPr="001505AD">
        <w:rPr>
          <w:b/>
          <w:bCs/>
        </w:rPr>
        <w:t>Material Deficiencies in the Consultation Process</w:t>
      </w:r>
    </w:p>
    <w:p w14:paraId="42DEE62B" w14:textId="77777777" w:rsidR="001505AD" w:rsidRPr="001505AD" w:rsidRDefault="001505AD" w:rsidP="001505AD">
      <w:r w:rsidRPr="001505AD">
        <w:t>We must also express serious concern that the consultation process did not meet the standard reasonably expected for the disposal of a nationally significant Common Good asset.</w:t>
      </w:r>
    </w:p>
    <w:p w14:paraId="7C30C899" w14:textId="77777777" w:rsidR="001505AD" w:rsidRPr="001505AD" w:rsidRDefault="001505AD" w:rsidP="001505AD">
      <w:r w:rsidRPr="001505AD">
        <w:t>In particular:</w:t>
      </w:r>
    </w:p>
    <w:p w14:paraId="768C92A2" w14:textId="42A7A701" w:rsidR="001505AD" w:rsidRPr="001505AD" w:rsidRDefault="001505AD" w:rsidP="001505AD">
      <w:pPr>
        <w:numPr>
          <w:ilvl w:val="0"/>
          <w:numId w:val="4"/>
        </w:numPr>
      </w:pPr>
      <w:r w:rsidRPr="001505AD">
        <w:t xml:space="preserve">The consultation was framed predominantly around whether to proceed with </w:t>
      </w:r>
      <w:r w:rsidR="00B75702">
        <w:t xml:space="preserve">the </w:t>
      </w:r>
      <w:r w:rsidRPr="001505AD">
        <w:t>sale, rather than presenting a balanced comparative assessment of all viable alternatives.</w:t>
      </w:r>
    </w:p>
    <w:p w14:paraId="09E25734" w14:textId="34BEA2F6" w:rsidR="001505AD" w:rsidRPr="001505AD" w:rsidRDefault="001505AD" w:rsidP="001505AD">
      <w:pPr>
        <w:numPr>
          <w:ilvl w:val="0"/>
          <w:numId w:val="4"/>
        </w:numPr>
      </w:pPr>
      <w:r w:rsidRPr="001505AD">
        <w:t xml:space="preserve">Engagement with Sotheby’s occurred prior to the conclusion of consultation, creating a reasonable perception that </w:t>
      </w:r>
      <w:r w:rsidR="00B75702">
        <w:t xml:space="preserve">the </w:t>
      </w:r>
      <w:r w:rsidRPr="001505AD">
        <w:t>sale had become the preferred trajectory.</w:t>
      </w:r>
    </w:p>
    <w:p w14:paraId="4B380D3A" w14:textId="107E89CB" w:rsidR="001505AD" w:rsidRPr="001505AD" w:rsidRDefault="001505AD" w:rsidP="001505AD">
      <w:pPr>
        <w:numPr>
          <w:ilvl w:val="0"/>
          <w:numId w:val="4"/>
        </w:numPr>
      </w:pPr>
      <w:r w:rsidRPr="001505AD">
        <w:t xml:space="preserve">Detailed comparative financial modelling between retention and disposal was not presented in </w:t>
      </w:r>
      <w:r w:rsidR="00B75702">
        <w:t xml:space="preserve">an </w:t>
      </w:r>
      <w:r w:rsidRPr="001505AD">
        <w:t>accessible form to residents.</w:t>
      </w:r>
    </w:p>
    <w:p w14:paraId="406051C5" w14:textId="77777777" w:rsidR="001505AD" w:rsidRPr="001505AD" w:rsidRDefault="001505AD" w:rsidP="001505AD">
      <w:pPr>
        <w:numPr>
          <w:ilvl w:val="0"/>
          <w:numId w:val="4"/>
        </w:numPr>
      </w:pPr>
      <w:r w:rsidRPr="001505AD">
        <w:t>The historic, cultural and national loss implications were not substantively analysed.</w:t>
      </w:r>
    </w:p>
    <w:p w14:paraId="4A2DDB64" w14:textId="77777777" w:rsidR="001505AD" w:rsidRPr="001505AD" w:rsidRDefault="001505AD" w:rsidP="001505AD">
      <w:pPr>
        <w:numPr>
          <w:ilvl w:val="0"/>
          <w:numId w:val="4"/>
        </w:numPr>
      </w:pPr>
      <w:r w:rsidRPr="001505AD">
        <w:t>Documentation was fragmented across committee reports rather than consolidated in a clear and transparent format.</w:t>
      </w:r>
    </w:p>
    <w:p w14:paraId="5C466996" w14:textId="77777777" w:rsidR="001505AD" w:rsidRPr="001505AD" w:rsidRDefault="001505AD" w:rsidP="001505AD">
      <w:r w:rsidRPr="001505AD">
        <w:t>Where trustees are contemplating irreversible alienation of heritage assets, the standard of transparency must exceed the statutory minimum.</w:t>
      </w:r>
    </w:p>
    <w:p w14:paraId="144D8CAA" w14:textId="77777777" w:rsidR="001505AD" w:rsidRPr="001505AD" w:rsidRDefault="001505AD" w:rsidP="001505AD">
      <w:r w:rsidRPr="001505AD">
        <w:lastRenderedPageBreak/>
        <w:t>Public confidence depends upon demonstrable openness and even-handed evaluation.</w:t>
      </w:r>
    </w:p>
    <w:p w14:paraId="7E1A222E" w14:textId="77777777" w:rsidR="001505AD" w:rsidRPr="001505AD" w:rsidRDefault="00000000" w:rsidP="001505AD">
      <w:r>
        <w:pict w14:anchorId="6AE3FA77">
          <v:rect id="_x0000_i1029" style="width:0;height:1.5pt" o:hralign="center" o:hrstd="t" o:hr="t" fillcolor="#a0a0a0" stroked="f"/>
        </w:pict>
      </w:r>
    </w:p>
    <w:p w14:paraId="4B9E4967" w14:textId="77777777" w:rsidR="001505AD" w:rsidRPr="001505AD" w:rsidRDefault="001505AD" w:rsidP="001505AD">
      <w:pPr>
        <w:rPr>
          <w:b/>
          <w:bCs/>
        </w:rPr>
      </w:pPr>
      <w:r w:rsidRPr="001505AD">
        <w:rPr>
          <w:b/>
          <w:bCs/>
        </w:rPr>
        <w:t>New and Material Information Now Before the Council</w:t>
      </w:r>
    </w:p>
    <w:p w14:paraId="1272D6A7" w14:textId="77777777" w:rsidR="001505AD" w:rsidRPr="001505AD" w:rsidRDefault="001505AD" w:rsidP="001505AD">
      <w:r w:rsidRPr="001505AD">
        <w:t>The factual context has changed materially since the original decision:</w:t>
      </w:r>
    </w:p>
    <w:p w14:paraId="5AA17D2A" w14:textId="77777777" w:rsidR="001505AD" w:rsidRPr="001505AD" w:rsidRDefault="001505AD" w:rsidP="001505AD">
      <w:pPr>
        <w:numPr>
          <w:ilvl w:val="0"/>
          <w:numId w:val="5"/>
        </w:numPr>
      </w:pPr>
      <w:r w:rsidRPr="001505AD">
        <w:t>Invergordon Museum has developed a viable long-term revenue-sharing model capable of generating sustained income for the Common Good Fund while retaining ownership.</w:t>
      </w:r>
    </w:p>
    <w:p w14:paraId="004B8C74" w14:textId="77777777" w:rsidR="001505AD" w:rsidRPr="001505AD" w:rsidRDefault="001505AD" w:rsidP="001505AD">
      <w:pPr>
        <w:numPr>
          <w:ilvl w:val="0"/>
          <w:numId w:val="5"/>
        </w:numPr>
      </w:pPr>
      <w:r w:rsidRPr="001505AD">
        <w:t>The Museum is relocating to another building in central Invergordon, where the bust could be securely displayed to appropriate conservation standards, significantly improving access for residents and more than 200,000 annual cruise visitors.</w:t>
      </w:r>
    </w:p>
    <w:p w14:paraId="6D57E999" w14:textId="77777777" w:rsidR="001505AD" w:rsidRPr="001505AD" w:rsidRDefault="001505AD" w:rsidP="001505AD">
      <w:pPr>
        <w:numPr>
          <w:ilvl w:val="0"/>
          <w:numId w:val="5"/>
        </w:numPr>
      </w:pPr>
      <w:r w:rsidRPr="001505AD">
        <w:t>Security and insurance concerns have been resolved, including eligibility for the Scottish Government Indemnity Scheme.</w:t>
      </w:r>
    </w:p>
    <w:p w14:paraId="60A979E8" w14:textId="77777777" w:rsidR="001505AD" w:rsidRPr="001505AD" w:rsidRDefault="001505AD" w:rsidP="001505AD">
      <w:pPr>
        <w:numPr>
          <w:ilvl w:val="0"/>
          <w:numId w:val="5"/>
        </w:numPr>
      </w:pPr>
      <w:r w:rsidRPr="001505AD">
        <w:t>The export bar process has formally and unanimously confirmed the bust’s outstanding national significance.</w:t>
      </w:r>
    </w:p>
    <w:p w14:paraId="60B6B416" w14:textId="77777777" w:rsidR="001505AD" w:rsidRPr="001505AD" w:rsidRDefault="001505AD" w:rsidP="001505AD">
      <w:pPr>
        <w:numPr>
          <w:ilvl w:val="0"/>
          <w:numId w:val="5"/>
        </w:numPr>
      </w:pPr>
      <w:r w:rsidRPr="001505AD">
        <w:t>Community scrutiny and engagement have increased substantially, including through Freedom of Information processes and oversight by the Scottish Information Commissioner.</w:t>
      </w:r>
    </w:p>
    <w:p w14:paraId="5C27A507" w14:textId="77777777" w:rsidR="001505AD" w:rsidRPr="001505AD" w:rsidRDefault="001505AD" w:rsidP="001505AD">
      <w:r w:rsidRPr="001505AD">
        <w:t>None of this material information was available to councillors at the time of the original vote.</w:t>
      </w:r>
    </w:p>
    <w:p w14:paraId="77F2F31A" w14:textId="77777777" w:rsidR="001505AD" w:rsidRPr="001505AD" w:rsidRDefault="001505AD" w:rsidP="001505AD">
      <w:r w:rsidRPr="001505AD">
        <w:t>In fiduciary terms, that alone justifies reconsideration.</w:t>
      </w:r>
    </w:p>
    <w:p w14:paraId="3E652C6C" w14:textId="77777777" w:rsidR="001505AD" w:rsidRPr="001505AD" w:rsidRDefault="00000000" w:rsidP="001505AD">
      <w:r>
        <w:pict w14:anchorId="470C94B3">
          <v:rect id="_x0000_i1030" style="width:0;height:1.5pt" o:hralign="center" o:hrstd="t" o:hr="t" fillcolor="#a0a0a0" stroked="f"/>
        </w:pict>
      </w:r>
    </w:p>
    <w:p w14:paraId="4A660E5D" w14:textId="77777777" w:rsidR="001505AD" w:rsidRPr="001505AD" w:rsidRDefault="001505AD" w:rsidP="001505AD">
      <w:pPr>
        <w:rPr>
          <w:b/>
          <w:bCs/>
        </w:rPr>
      </w:pPr>
      <w:r w:rsidRPr="001505AD">
        <w:rPr>
          <w:b/>
          <w:bCs/>
        </w:rPr>
        <w:t>An Irreplaceable Part of Invergordon’s Identity</w:t>
      </w:r>
    </w:p>
    <w:p w14:paraId="4841EB8A" w14:textId="0422E05D" w:rsidR="001505AD" w:rsidRPr="001505AD" w:rsidRDefault="001505AD" w:rsidP="001505AD">
      <w:r w:rsidRPr="001505AD">
        <w:t xml:space="preserve">For nearly 300 years, this bust has formed part of Invergordon’s story. It survived fire, dispersal and obscurity. It was rediscovered and recognised as a masterpiece. It has travelled </w:t>
      </w:r>
      <w:r w:rsidR="00BE575B" w:rsidRPr="001505AD">
        <w:t>internationally yet</w:t>
      </w:r>
      <w:r w:rsidRPr="001505AD">
        <w:t xml:space="preserve"> remained the property of the town.</w:t>
      </w:r>
    </w:p>
    <w:p w14:paraId="23F5DA3C" w14:textId="77777777" w:rsidR="001505AD" w:rsidRPr="001505AD" w:rsidRDefault="001505AD" w:rsidP="001505AD">
      <w:r w:rsidRPr="001505AD">
        <w:t>It is not merely a work of art. It is a tangible link to the town’s origins and to Scotland’s eighteenth-century history.</w:t>
      </w:r>
    </w:p>
    <w:p w14:paraId="29C2061E" w14:textId="77777777" w:rsidR="001505AD" w:rsidRPr="001505AD" w:rsidRDefault="001505AD" w:rsidP="001505AD">
      <w:r w:rsidRPr="001505AD">
        <w:t>To dispose of it now — potentially beyond Scotland — would permanently sever that connection.</w:t>
      </w:r>
    </w:p>
    <w:p w14:paraId="137169F8" w14:textId="77777777" w:rsidR="001505AD" w:rsidRPr="001505AD" w:rsidRDefault="001505AD" w:rsidP="001505AD">
      <w:r w:rsidRPr="001505AD">
        <w:t>Such decisions define how communities value their inheritance.</w:t>
      </w:r>
    </w:p>
    <w:p w14:paraId="00FB03FF" w14:textId="77777777" w:rsidR="001505AD" w:rsidRPr="001505AD" w:rsidRDefault="00000000" w:rsidP="001505AD">
      <w:r>
        <w:pict w14:anchorId="48B17F67">
          <v:rect id="_x0000_i1031" style="width:0;height:1.5pt" o:hralign="center" o:hrstd="t" o:hr="t" fillcolor="#a0a0a0" stroked="f"/>
        </w:pict>
      </w:r>
    </w:p>
    <w:p w14:paraId="38D50A41" w14:textId="77777777" w:rsidR="001505AD" w:rsidRPr="001505AD" w:rsidRDefault="001505AD" w:rsidP="001505AD">
      <w:pPr>
        <w:rPr>
          <w:b/>
          <w:bCs/>
        </w:rPr>
      </w:pPr>
      <w:r w:rsidRPr="001505AD">
        <w:rPr>
          <w:b/>
          <w:bCs/>
        </w:rPr>
        <w:t>The Lawful and Responsible Course</w:t>
      </w:r>
    </w:p>
    <w:p w14:paraId="5FF7376E" w14:textId="77777777" w:rsidR="001505AD" w:rsidRPr="001505AD" w:rsidRDefault="001505AD" w:rsidP="001505AD">
      <w:r w:rsidRPr="001505AD">
        <w:t>Highland Council procedures permit decisions to be revisited where:</w:t>
      </w:r>
    </w:p>
    <w:p w14:paraId="2A1657C5" w14:textId="77777777" w:rsidR="001505AD" w:rsidRPr="001505AD" w:rsidRDefault="001505AD" w:rsidP="009A2720">
      <w:pPr>
        <w:pStyle w:val="NoSpacing"/>
        <w:numPr>
          <w:ilvl w:val="0"/>
          <w:numId w:val="9"/>
        </w:numPr>
      </w:pPr>
      <w:r w:rsidRPr="001505AD">
        <w:t>New information has emerged;</w:t>
      </w:r>
    </w:p>
    <w:p w14:paraId="3631EE1E" w14:textId="77777777" w:rsidR="001505AD" w:rsidRPr="001505AD" w:rsidRDefault="001505AD" w:rsidP="009A2720">
      <w:pPr>
        <w:pStyle w:val="NoSpacing"/>
        <w:numPr>
          <w:ilvl w:val="0"/>
          <w:numId w:val="9"/>
        </w:numPr>
      </w:pPr>
      <w:r w:rsidRPr="001505AD">
        <w:t>A viable alternative exists;</w:t>
      </w:r>
    </w:p>
    <w:p w14:paraId="3488CEAA" w14:textId="77777777" w:rsidR="001505AD" w:rsidRPr="001505AD" w:rsidRDefault="001505AD" w:rsidP="009A2720">
      <w:pPr>
        <w:pStyle w:val="NoSpacing"/>
        <w:numPr>
          <w:ilvl w:val="0"/>
          <w:numId w:val="9"/>
        </w:numPr>
      </w:pPr>
      <w:r w:rsidRPr="001505AD">
        <w:t>There is substantial public interest;</w:t>
      </w:r>
    </w:p>
    <w:p w14:paraId="7F6D1A75" w14:textId="77777777" w:rsidR="001505AD" w:rsidRDefault="001505AD" w:rsidP="009A2720">
      <w:pPr>
        <w:pStyle w:val="NoSpacing"/>
        <w:numPr>
          <w:ilvl w:val="0"/>
          <w:numId w:val="9"/>
        </w:numPr>
      </w:pPr>
      <w:r w:rsidRPr="001505AD">
        <w:t>Trustees consider that a different outcome may better serve the Common Good.</w:t>
      </w:r>
    </w:p>
    <w:p w14:paraId="65FA54FC" w14:textId="77777777" w:rsidR="009A2720" w:rsidRPr="001505AD" w:rsidRDefault="009A2720" w:rsidP="009A2720">
      <w:pPr>
        <w:pStyle w:val="NoSpacing"/>
        <w:ind w:left="720"/>
      </w:pPr>
    </w:p>
    <w:p w14:paraId="179CFE61" w14:textId="77777777" w:rsidR="001505AD" w:rsidRPr="001505AD" w:rsidRDefault="001505AD" w:rsidP="001505AD">
      <w:r w:rsidRPr="001505AD">
        <w:lastRenderedPageBreak/>
        <w:t>All criteria are plainly met.</w:t>
      </w:r>
    </w:p>
    <w:p w14:paraId="7CD79D16" w14:textId="77777777" w:rsidR="001505AD" w:rsidRPr="001505AD" w:rsidRDefault="001505AD" w:rsidP="001505AD">
      <w:r w:rsidRPr="001505AD">
        <w:t>Reconsideration would not demonstrate weakness. It would demonstrate lawful prudence, responsible trusteeship, and respect for both heritage and community.</w:t>
      </w:r>
    </w:p>
    <w:p w14:paraId="76B24AA0" w14:textId="77777777" w:rsidR="001505AD" w:rsidRPr="001505AD" w:rsidRDefault="00000000" w:rsidP="001505AD">
      <w:r>
        <w:pict w14:anchorId="5C716D3B">
          <v:rect id="_x0000_i1032" style="width:0;height:1.5pt" o:hralign="center" o:hrstd="t" o:hr="t" fillcolor="#a0a0a0" stroked="f"/>
        </w:pict>
      </w:r>
    </w:p>
    <w:p w14:paraId="30E5E339" w14:textId="77777777" w:rsidR="001505AD" w:rsidRPr="001505AD" w:rsidRDefault="001505AD" w:rsidP="001505AD">
      <w:pPr>
        <w:rPr>
          <w:b/>
          <w:bCs/>
        </w:rPr>
      </w:pPr>
      <w:r w:rsidRPr="001505AD">
        <w:rPr>
          <w:b/>
          <w:bCs/>
        </w:rPr>
        <w:t>What We Are Asking</w:t>
      </w:r>
    </w:p>
    <w:p w14:paraId="7E4AC85C" w14:textId="77777777" w:rsidR="001505AD" w:rsidRPr="001505AD" w:rsidRDefault="001505AD" w:rsidP="001505AD">
      <w:r w:rsidRPr="001505AD">
        <w:t>We therefore call for:</w:t>
      </w:r>
    </w:p>
    <w:p w14:paraId="15F57CA4" w14:textId="77777777" w:rsidR="001505AD" w:rsidRPr="001505AD" w:rsidRDefault="001505AD" w:rsidP="001505AD">
      <w:pPr>
        <w:numPr>
          <w:ilvl w:val="0"/>
          <w:numId w:val="7"/>
        </w:numPr>
      </w:pPr>
      <w:r w:rsidRPr="001505AD">
        <w:t>An immediate pause on further steps toward sale.</w:t>
      </w:r>
    </w:p>
    <w:p w14:paraId="05BB65F1" w14:textId="77777777" w:rsidR="001505AD" w:rsidRPr="001505AD" w:rsidRDefault="001505AD" w:rsidP="001505AD">
      <w:pPr>
        <w:numPr>
          <w:ilvl w:val="0"/>
          <w:numId w:val="7"/>
        </w:numPr>
      </w:pPr>
      <w:r w:rsidRPr="001505AD">
        <w:t>A formal reconsideration of the decision in light of new material information.</w:t>
      </w:r>
    </w:p>
    <w:p w14:paraId="0142712C" w14:textId="77777777" w:rsidR="001505AD" w:rsidRPr="001505AD" w:rsidRDefault="001505AD" w:rsidP="001505AD">
      <w:pPr>
        <w:numPr>
          <w:ilvl w:val="0"/>
          <w:numId w:val="7"/>
        </w:numPr>
      </w:pPr>
      <w:r w:rsidRPr="001505AD">
        <w:t>Full and transparent comparative financial modelling of retention versus disposal.</w:t>
      </w:r>
    </w:p>
    <w:p w14:paraId="6CFC5550" w14:textId="77777777" w:rsidR="001505AD" w:rsidRPr="001505AD" w:rsidRDefault="001505AD" w:rsidP="001505AD">
      <w:pPr>
        <w:numPr>
          <w:ilvl w:val="0"/>
          <w:numId w:val="7"/>
        </w:numPr>
      </w:pPr>
      <w:r w:rsidRPr="001505AD">
        <w:t>Constructive engagement with Invergordon Museum regarding a structured long-term loan and revenue-sharing arrangement.</w:t>
      </w:r>
    </w:p>
    <w:p w14:paraId="2761BDF9" w14:textId="77777777" w:rsidR="001505AD" w:rsidRPr="001505AD" w:rsidRDefault="001505AD" w:rsidP="001505AD">
      <w:pPr>
        <w:numPr>
          <w:ilvl w:val="0"/>
          <w:numId w:val="7"/>
        </w:numPr>
      </w:pPr>
      <w:r w:rsidRPr="001505AD">
        <w:t>A renewed and genuinely open consultation before any irreversible action is taken.</w:t>
      </w:r>
    </w:p>
    <w:p w14:paraId="6BC1CBA7" w14:textId="49060A3B" w:rsidR="001505AD" w:rsidRPr="001505AD" w:rsidRDefault="001505AD" w:rsidP="001505AD">
      <w:r w:rsidRPr="001505AD">
        <w:t xml:space="preserve">The decision before </w:t>
      </w:r>
      <w:r w:rsidR="00BE575B">
        <w:t xml:space="preserve">the </w:t>
      </w:r>
      <w:r w:rsidRPr="001505AD">
        <w:t>councillors is historic.</w:t>
      </w:r>
    </w:p>
    <w:p w14:paraId="04AEA97A" w14:textId="77777777" w:rsidR="001505AD" w:rsidRPr="001505AD" w:rsidRDefault="001505AD" w:rsidP="001505AD">
      <w:r w:rsidRPr="001505AD">
        <w:t>Common Good assets are not held for short-term expediency. They are held in trust for future generations.</w:t>
      </w:r>
    </w:p>
    <w:p w14:paraId="3BA85EB3" w14:textId="77777777" w:rsidR="001505AD" w:rsidRPr="001505AD" w:rsidRDefault="001505AD" w:rsidP="001505AD">
      <w:r w:rsidRPr="001505AD">
        <w:t>Once sold, this object of outstanding national importance will never return.</w:t>
      </w:r>
    </w:p>
    <w:p w14:paraId="4545C767" w14:textId="77777777" w:rsidR="001505AD" w:rsidRDefault="001505AD" w:rsidP="001505AD">
      <w:r w:rsidRPr="001505AD">
        <w:t>We urge elected representatives to exercise their discretion lawfully, prudently and courageously.</w:t>
      </w:r>
    </w:p>
    <w:p w14:paraId="3A8C55B4" w14:textId="77777777" w:rsidR="00824177" w:rsidRPr="001505AD" w:rsidRDefault="00824177" w:rsidP="001505AD"/>
    <w:p w14:paraId="20FF941C" w14:textId="77777777" w:rsidR="001505AD" w:rsidRDefault="001505AD" w:rsidP="001505AD">
      <w:r w:rsidRPr="001505AD">
        <w:t>Yours faithfully,</w:t>
      </w:r>
    </w:p>
    <w:p w14:paraId="467F2D1B" w14:textId="28FC2A42" w:rsidR="00824177" w:rsidRDefault="00824177" w:rsidP="001505AD">
      <w:r>
        <w:t>The Trustees of Invergordon Naval Museum &amp; Heritage Centre</w:t>
      </w:r>
    </w:p>
    <w:p w14:paraId="53677B9A" w14:textId="77777777" w:rsidR="009A2720" w:rsidRDefault="009A2720" w:rsidP="001505AD"/>
    <w:p w14:paraId="3137A67E" w14:textId="77777777" w:rsidR="005E19F9" w:rsidRDefault="005E19F9" w:rsidP="001505AD"/>
    <w:p w14:paraId="3F2E2366" w14:textId="77777777" w:rsidR="005E19F9" w:rsidRDefault="005E19F9" w:rsidP="001505AD"/>
    <w:p w14:paraId="67E04ABE" w14:textId="77777777" w:rsidR="005E19F9" w:rsidRDefault="005E19F9" w:rsidP="001505AD"/>
    <w:p w14:paraId="17698D36" w14:textId="77777777" w:rsidR="005E19F9" w:rsidRDefault="005E19F9" w:rsidP="001505AD"/>
    <w:p w14:paraId="0AAA5388" w14:textId="77777777" w:rsidR="005E19F9" w:rsidRDefault="005E19F9" w:rsidP="001505AD"/>
    <w:p w14:paraId="7AF5A777" w14:textId="77777777" w:rsidR="005E19F9" w:rsidRDefault="005E19F9" w:rsidP="001505AD"/>
    <w:p w14:paraId="726A5141" w14:textId="57A02763" w:rsidR="009A2720" w:rsidRDefault="009A2720" w:rsidP="005E19F9">
      <w:pPr>
        <w:pStyle w:val="NoSpacing"/>
        <w:jc w:val="center"/>
      </w:pPr>
      <w:r>
        <w:t>140 High Street</w:t>
      </w:r>
    </w:p>
    <w:p w14:paraId="351F4717" w14:textId="2498C33E" w:rsidR="009A2720" w:rsidRDefault="009A2720" w:rsidP="005E19F9">
      <w:pPr>
        <w:pStyle w:val="NoSpacing"/>
        <w:jc w:val="center"/>
      </w:pPr>
      <w:r>
        <w:t>Invergordon IV18 0AE</w:t>
      </w:r>
    </w:p>
    <w:p w14:paraId="012236D1" w14:textId="77777777" w:rsidR="005E19F9" w:rsidRDefault="005E19F9" w:rsidP="005E19F9">
      <w:pPr>
        <w:pStyle w:val="NoSpacing"/>
        <w:jc w:val="center"/>
      </w:pPr>
    </w:p>
    <w:p w14:paraId="2654D6F9" w14:textId="77777777" w:rsidR="005E19F9" w:rsidRPr="005E19F9" w:rsidRDefault="005E19F9" w:rsidP="005E19F9">
      <w:pPr>
        <w:pStyle w:val="NoSpacing"/>
        <w:jc w:val="center"/>
      </w:pPr>
      <w:r w:rsidRPr="005E19F9">
        <w:t>Invergordon Museum is a SCIO</w:t>
      </w:r>
    </w:p>
    <w:p w14:paraId="1FC7C9A7" w14:textId="77777777" w:rsidR="005E19F9" w:rsidRPr="005E19F9" w:rsidRDefault="005E19F9" w:rsidP="005E19F9">
      <w:pPr>
        <w:pStyle w:val="NoSpacing"/>
        <w:jc w:val="center"/>
      </w:pPr>
      <w:r w:rsidRPr="005E19F9">
        <w:t>Scottish Charity Number: SC035244</w:t>
      </w:r>
    </w:p>
    <w:p w14:paraId="7A9B9A58" w14:textId="77777777" w:rsidR="005E19F9" w:rsidRDefault="005E19F9" w:rsidP="005E19F9">
      <w:pPr>
        <w:pStyle w:val="NoSpacing"/>
        <w:jc w:val="center"/>
      </w:pPr>
    </w:p>
    <w:p w14:paraId="6BF3372D" w14:textId="79AEC2ED" w:rsidR="0084597C" w:rsidRPr="001505AD" w:rsidRDefault="005E19F9" w:rsidP="005E19F9">
      <w:pPr>
        <w:jc w:val="center"/>
      </w:pPr>
      <w:hyperlink r:id="rId7" w:history="1">
        <w:r w:rsidRPr="00446BCD">
          <w:rPr>
            <w:rStyle w:val="Hyperlink"/>
          </w:rPr>
          <w:t>invergordon.museum@outlook.com</w:t>
        </w:r>
      </w:hyperlink>
    </w:p>
    <w:sectPr w:rsidR="0084597C" w:rsidRPr="001505A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7C7AF" w14:textId="77777777" w:rsidR="009D0329" w:rsidRDefault="009D0329" w:rsidP="00B75702">
      <w:pPr>
        <w:spacing w:after="0" w:line="240" w:lineRule="auto"/>
      </w:pPr>
      <w:r>
        <w:separator/>
      </w:r>
    </w:p>
  </w:endnote>
  <w:endnote w:type="continuationSeparator" w:id="0">
    <w:p w14:paraId="5F500AF9" w14:textId="77777777" w:rsidR="009D0329" w:rsidRDefault="009D0329" w:rsidP="00B75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Pro Cond">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805165"/>
      <w:docPartObj>
        <w:docPartGallery w:val="Page Numbers (Bottom of Page)"/>
        <w:docPartUnique/>
      </w:docPartObj>
    </w:sdtPr>
    <w:sdtContent>
      <w:p w14:paraId="31C56D8E" w14:textId="4730EDCB" w:rsidR="009A2720" w:rsidRDefault="009A2720">
        <w:pPr>
          <w:pStyle w:val="Footer"/>
          <w:jc w:val="center"/>
        </w:pPr>
        <w:r>
          <w:rPr>
            <w:noProof/>
          </w:rPr>
          <mc:AlternateContent>
            <mc:Choice Requires="wps">
              <w:drawing>
                <wp:inline distT="0" distB="0" distL="0" distR="0" wp14:anchorId="17FBCFA4" wp14:editId="7B1B4B60">
                  <wp:extent cx="5467350" cy="45085"/>
                  <wp:effectExtent l="9525" t="9525" r="0" b="2540"/>
                  <wp:docPr id="702806734"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A2DDF9F"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7E08B1F4" w14:textId="4892EA3C" w:rsidR="009A2720" w:rsidRDefault="009A2720">
        <w:pPr>
          <w:pStyle w:val="Footer"/>
          <w:jc w:val="center"/>
        </w:pPr>
        <w:r>
          <w:fldChar w:fldCharType="begin"/>
        </w:r>
        <w:r>
          <w:instrText>PAGE    \* MERGEFORMAT</w:instrText>
        </w:r>
        <w:r>
          <w:fldChar w:fldCharType="separate"/>
        </w:r>
        <w:r>
          <w:t>2</w:t>
        </w:r>
        <w:r>
          <w:fldChar w:fldCharType="end"/>
        </w:r>
      </w:p>
    </w:sdtContent>
  </w:sdt>
  <w:p w14:paraId="2B0B90E3" w14:textId="77777777" w:rsidR="009A2720" w:rsidRDefault="009A2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085DC" w14:textId="77777777" w:rsidR="009D0329" w:rsidRDefault="009D0329" w:rsidP="00B75702">
      <w:pPr>
        <w:spacing w:after="0" w:line="240" w:lineRule="auto"/>
      </w:pPr>
      <w:r>
        <w:separator/>
      </w:r>
    </w:p>
  </w:footnote>
  <w:footnote w:type="continuationSeparator" w:id="0">
    <w:p w14:paraId="34BAF802" w14:textId="77777777" w:rsidR="009D0329" w:rsidRDefault="009D0329" w:rsidP="00B75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5BAC" w14:textId="6B6E8EEA" w:rsidR="009A2720" w:rsidRPr="005E19F9" w:rsidRDefault="009A2720" w:rsidP="00EA34AC">
    <w:pPr>
      <w:pStyle w:val="Header"/>
      <w:rPr>
        <w:rFonts w:ascii="Georgia Pro Cond" w:hAnsi="Georgia Pro Cond"/>
        <w:b/>
        <w:bCs/>
        <w:color w:val="153D63" w:themeColor="text2" w:themeTint="E6"/>
      </w:rPr>
    </w:pPr>
    <w:r w:rsidRPr="005E19F9">
      <w:rPr>
        <w:rFonts w:ascii="Georgia Pro Cond" w:hAnsi="Georgia Pro Cond"/>
        <w:b/>
        <w:bCs/>
        <w:noProof/>
        <w:color w:val="153D63" w:themeColor="text2" w:themeTint="E6"/>
      </w:rPr>
      <w:drawing>
        <wp:anchor distT="0" distB="0" distL="114300" distR="114300" simplePos="0" relativeHeight="251658240" behindDoc="1" locked="0" layoutInCell="1" allowOverlap="1" wp14:anchorId="39A848B5" wp14:editId="74478C7B">
          <wp:simplePos x="0" y="0"/>
          <wp:positionH relativeFrom="column">
            <wp:posOffset>4722495</wp:posOffset>
          </wp:positionH>
          <wp:positionV relativeFrom="paragraph">
            <wp:posOffset>-433705</wp:posOffset>
          </wp:positionV>
          <wp:extent cx="1645920" cy="1645920"/>
          <wp:effectExtent l="0" t="0" r="0" b="0"/>
          <wp:wrapTight wrapText="bothSides">
            <wp:wrapPolygon edited="0">
              <wp:start x="8500" y="2500"/>
              <wp:lineTo x="6750" y="3500"/>
              <wp:lineTo x="3500" y="6250"/>
              <wp:lineTo x="2750" y="10500"/>
              <wp:lineTo x="2750" y="11500"/>
              <wp:lineTo x="4000" y="15000"/>
              <wp:lineTo x="4250" y="15500"/>
              <wp:lineTo x="9000" y="18250"/>
              <wp:lineTo x="12250" y="18250"/>
              <wp:lineTo x="17000" y="15500"/>
              <wp:lineTo x="17000" y="15000"/>
              <wp:lineTo x="18750" y="11000"/>
              <wp:lineTo x="18000" y="6250"/>
              <wp:lineTo x="14750" y="3750"/>
              <wp:lineTo x="12750" y="2500"/>
              <wp:lineTo x="8500" y="2500"/>
            </wp:wrapPolygon>
          </wp:wrapTight>
          <wp:docPr id="11166329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32921" name="Picture 1116632921"/>
                  <pic:cNvPicPr/>
                </pic:nvPicPr>
                <pic:blipFill>
                  <a:blip r:embed="rId1">
                    <a:extLst>
                      <a:ext uri="{28A0092B-C50C-407E-A947-70E740481C1C}">
                        <a14:useLocalDpi xmlns:a14="http://schemas.microsoft.com/office/drawing/2010/main" val="0"/>
                      </a:ext>
                    </a:extLst>
                  </a:blip>
                  <a:stretch>
                    <a:fillRect/>
                  </a:stretch>
                </pic:blipFill>
                <pic:spPr>
                  <a:xfrm>
                    <a:off x="0" y="0"/>
                    <a:ext cx="1645920" cy="1645920"/>
                  </a:xfrm>
                  <a:prstGeom prst="rect">
                    <a:avLst/>
                  </a:prstGeom>
                </pic:spPr>
              </pic:pic>
            </a:graphicData>
          </a:graphic>
          <wp14:sizeRelH relativeFrom="page">
            <wp14:pctWidth>0</wp14:pctWidth>
          </wp14:sizeRelH>
          <wp14:sizeRelV relativeFrom="page">
            <wp14:pctHeight>0</wp14:pctHeight>
          </wp14:sizeRelV>
        </wp:anchor>
      </w:drawing>
    </w:r>
    <w:r w:rsidR="00EA34AC" w:rsidRPr="005E19F9">
      <w:rPr>
        <w:rFonts w:ascii="Georgia Pro Cond" w:hAnsi="Georgia Pro Cond"/>
        <w:b/>
        <w:bCs/>
        <w:color w:val="153D63" w:themeColor="text2" w:themeTint="E6"/>
      </w:rPr>
      <w:t>INVERGORDON NAVAL MUSEUM &amp; HERITAGE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6AC2"/>
    <w:multiLevelType w:val="multilevel"/>
    <w:tmpl w:val="A6D60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FF128D"/>
    <w:multiLevelType w:val="multilevel"/>
    <w:tmpl w:val="D5A6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84753"/>
    <w:multiLevelType w:val="multilevel"/>
    <w:tmpl w:val="0940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339AE"/>
    <w:multiLevelType w:val="hybridMultilevel"/>
    <w:tmpl w:val="0E203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D7478D"/>
    <w:multiLevelType w:val="multilevel"/>
    <w:tmpl w:val="4E1A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0E5D54"/>
    <w:multiLevelType w:val="multilevel"/>
    <w:tmpl w:val="6494E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C17CE5"/>
    <w:multiLevelType w:val="multilevel"/>
    <w:tmpl w:val="4974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FC4C1B"/>
    <w:multiLevelType w:val="hybridMultilevel"/>
    <w:tmpl w:val="F90C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102D46"/>
    <w:multiLevelType w:val="multilevel"/>
    <w:tmpl w:val="01ECF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308035">
    <w:abstractNumId w:val="8"/>
  </w:num>
  <w:num w:numId="2" w16cid:durableId="540753140">
    <w:abstractNumId w:val="5"/>
  </w:num>
  <w:num w:numId="3" w16cid:durableId="424493543">
    <w:abstractNumId w:val="1"/>
  </w:num>
  <w:num w:numId="4" w16cid:durableId="1767529598">
    <w:abstractNumId w:val="6"/>
  </w:num>
  <w:num w:numId="5" w16cid:durableId="1110469727">
    <w:abstractNumId w:val="2"/>
  </w:num>
  <w:num w:numId="6" w16cid:durableId="1470904263">
    <w:abstractNumId w:val="4"/>
  </w:num>
  <w:num w:numId="7" w16cid:durableId="1938564317">
    <w:abstractNumId w:val="0"/>
  </w:num>
  <w:num w:numId="8" w16cid:durableId="1685550392">
    <w:abstractNumId w:val="3"/>
  </w:num>
  <w:num w:numId="9" w16cid:durableId="449099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91"/>
    <w:rsid w:val="001505AD"/>
    <w:rsid w:val="002A25DD"/>
    <w:rsid w:val="00495495"/>
    <w:rsid w:val="005E19F9"/>
    <w:rsid w:val="00714037"/>
    <w:rsid w:val="00824177"/>
    <w:rsid w:val="0084597C"/>
    <w:rsid w:val="00973891"/>
    <w:rsid w:val="009A2720"/>
    <w:rsid w:val="009A67BF"/>
    <w:rsid w:val="009D0329"/>
    <w:rsid w:val="00B75702"/>
    <w:rsid w:val="00BE575B"/>
    <w:rsid w:val="00CA437B"/>
    <w:rsid w:val="00DB63CE"/>
    <w:rsid w:val="00EA34AC"/>
    <w:rsid w:val="00EE5C62"/>
    <w:rsid w:val="00F91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CFD1E"/>
  <w15:chartTrackingRefBased/>
  <w15:docId w15:val="{B212F651-E323-49DF-9A04-F6383DEE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8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8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8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8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8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8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8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8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8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8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8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8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8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8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8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891"/>
    <w:rPr>
      <w:rFonts w:eastAsiaTheme="majorEastAsia" w:cstheme="majorBidi"/>
      <w:color w:val="272727" w:themeColor="text1" w:themeTint="D8"/>
    </w:rPr>
  </w:style>
  <w:style w:type="paragraph" w:styleId="Title">
    <w:name w:val="Title"/>
    <w:basedOn w:val="Normal"/>
    <w:next w:val="Normal"/>
    <w:link w:val="TitleChar"/>
    <w:uiPriority w:val="10"/>
    <w:qFormat/>
    <w:rsid w:val="00973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8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8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8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891"/>
    <w:pPr>
      <w:spacing w:before="160"/>
      <w:jc w:val="center"/>
    </w:pPr>
    <w:rPr>
      <w:i/>
      <w:iCs/>
      <w:color w:val="404040" w:themeColor="text1" w:themeTint="BF"/>
    </w:rPr>
  </w:style>
  <w:style w:type="character" w:customStyle="1" w:styleId="QuoteChar">
    <w:name w:val="Quote Char"/>
    <w:basedOn w:val="DefaultParagraphFont"/>
    <w:link w:val="Quote"/>
    <w:uiPriority w:val="29"/>
    <w:rsid w:val="00973891"/>
    <w:rPr>
      <w:i/>
      <w:iCs/>
      <w:color w:val="404040" w:themeColor="text1" w:themeTint="BF"/>
    </w:rPr>
  </w:style>
  <w:style w:type="paragraph" w:styleId="ListParagraph">
    <w:name w:val="List Paragraph"/>
    <w:basedOn w:val="Normal"/>
    <w:uiPriority w:val="34"/>
    <w:qFormat/>
    <w:rsid w:val="00973891"/>
    <w:pPr>
      <w:ind w:left="720"/>
      <w:contextualSpacing/>
    </w:pPr>
  </w:style>
  <w:style w:type="character" w:styleId="IntenseEmphasis">
    <w:name w:val="Intense Emphasis"/>
    <w:basedOn w:val="DefaultParagraphFont"/>
    <w:uiPriority w:val="21"/>
    <w:qFormat/>
    <w:rsid w:val="00973891"/>
    <w:rPr>
      <w:i/>
      <w:iCs/>
      <w:color w:val="0F4761" w:themeColor="accent1" w:themeShade="BF"/>
    </w:rPr>
  </w:style>
  <w:style w:type="paragraph" w:styleId="IntenseQuote">
    <w:name w:val="Intense Quote"/>
    <w:basedOn w:val="Normal"/>
    <w:next w:val="Normal"/>
    <w:link w:val="IntenseQuoteChar"/>
    <w:uiPriority w:val="30"/>
    <w:qFormat/>
    <w:rsid w:val="009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891"/>
    <w:rPr>
      <w:i/>
      <w:iCs/>
      <w:color w:val="0F4761" w:themeColor="accent1" w:themeShade="BF"/>
    </w:rPr>
  </w:style>
  <w:style w:type="character" w:styleId="IntenseReference">
    <w:name w:val="Intense Reference"/>
    <w:basedOn w:val="DefaultParagraphFont"/>
    <w:uiPriority w:val="32"/>
    <w:qFormat/>
    <w:rsid w:val="00973891"/>
    <w:rPr>
      <w:b/>
      <w:bCs/>
      <w:smallCaps/>
      <w:color w:val="0F4761" w:themeColor="accent1" w:themeShade="BF"/>
      <w:spacing w:val="5"/>
    </w:rPr>
  </w:style>
  <w:style w:type="paragraph" w:styleId="Header">
    <w:name w:val="header"/>
    <w:basedOn w:val="Normal"/>
    <w:link w:val="HeaderChar"/>
    <w:uiPriority w:val="99"/>
    <w:unhideWhenUsed/>
    <w:rsid w:val="00B75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702"/>
  </w:style>
  <w:style w:type="paragraph" w:styleId="Footer">
    <w:name w:val="footer"/>
    <w:basedOn w:val="Normal"/>
    <w:link w:val="FooterChar"/>
    <w:uiPriority w:val="99"/>
    <w:unhideWhenUsed/>
    <w:rsid w:val="00B75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702"/>
  </w:style>
  <w:style w:type="paragraph" w:styleId="NoSpacing">
    <w:name w:val="No Spacing"/>
    <w:uiPriority w:val="1"/>
    <w:qFormat/>
    <w:rsid w:val="009A2720"/>
    <w:pPr>
      <w:spacing w:after="0" w:line="240" w:lineRule="auto"/>
    </w:pPr>
  </w:style>
  <w:style w:type="character" w:styleId="Hyperlink">
    <w:name w:val="Hyperlink"/>
    <w:basedOn w:val="DefaultParagraphFont"/>
    <w:uiPriority w:val="99"/>
    <w:unhideWhenUsed/>
    <w:rsid w:val="005E19F9"/>
    <w:rPr>
      <w:color w:val="467886" w:themeColor="hyperlink"/>
      <w:u w:val="single"/>
    </w:rPr>
  </w:style>
  <w:style w:type="character" w:styleId="UnresolvedMention">
    <w:name w:val="Unresolved Mention"/>
    <w:basedOn w:val="DefaultParagraphFont"/>
    <w:uiPriority w:val="99"/>
    <w:semiHidden/>
    <w:unhideWhenUsed/>
    <w:rsid w:val="005E1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vergordon.museum@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1152</Words>
  <Characters>6915</Characters>
  <Application>Microsoft Office Word</Application>
  <DocSecurity>0</DocSecurity>
  <Lines>132</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Annick Cornu</dc:creator>
  <cp:keywords/>
  <dc:description/>
  <cp:lastModifiedBy>Annick Cornu</cp:lastModifiedBy>
  <cp:revision>9</cp:revision>
  <dcterms:created xsi:type="dcterms:W3CDTF">2026-03-03T16:35:00Z</dcterms:created>
  <dcterms:modified xsi:type="dcterms:W3CDTF">2026-03-09T20:24:00Z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4f794718-35b8-4556-8e45-e17d9e61b3b8</vt:lpwstr>
  </property>
</Properties>
</file>